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8F4850" w:rsidRPr="00403E10" w:rsidRDefault="008F4850">
      <w:pPr>
        <w:rPr>
          <w:sz w:val="24"/>
          <w:szCs w:val="24"/>
        </w:rPr>
      </w:pPr>
    </w:p>
    <w:p w:rsidR="00407061" w:rsidRPr="00407061" w:rsidRDefault="004657A4" w:rsidP="0034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-55245</wp:posOffset>
            </wp:positionV>
            <wp:extent cx="1504950" cy="347529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47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7A4" w:rsidRDefault="004657A4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105CA2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изолирующи</w:t>
      </w:r>
      <w:r w:rsidR="00B746A5">
        <w:rPr>
          <w:rFonts w:ascii="Times New Roman" w:hAnsi="Times New Roman" w:cs="Times New Roman"/>
          <w:sz w:val="28"/>
          <w:szCs w:val="28"/>
        </w:rPr>
        <w:t xml:space="preserve">й типа </w:t>
      </w:r>
      <w:r>
        <w:rPr>
          <w:rFonts w:ascii="Times New Roman" w:hAnsi="Times New Roman" w:cs="Times New Roman"/>
          <w:sz w:val="28"/>
          <w:szCs w:val="28"/>
        </w:rPr>
        <w:t>БИ</w:t>
      </w:r>
    </w:p>
    <w:p w:rsidR="00C5454F" w:rsidRPr="00407061" w:rsidRDefault="00F92F58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342900</wp:posOffset>
            </wp:positionV>
            <wp:extent cx="4361815" cy="4241800"/>
            <wp:effectExtent l="19050" t="0" r="635" b="0"/>
            <wp:wrapNone/>
            <wp:docPr id="2" name="Рисунок 1" descr="P106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02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061"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Pr="00C5454F" w:rsidRDefault="00407061" w:rsidP="00407061">
      <w:pPr>
        <w:jc w:val="center"/>
        <w:rPr>
          <w:b/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C5454F" w:rsidRDefault="00C5454F" w:rsidP="00407061">
      <w:pPr>
        <w:jc w:val="center"/>
        <w:rPr>
          <w:sz w:val="28"/>
          <w:szCs w:val="28"/>
        </w:rPr>
      </w:pPr>
    </w:p>
    <w:p w:rsidR="00C5454F" w:rsidRPr="00407061" w:rsidRDefault="00C5454F" w:rsidP="00407061">
      <w:pPr>
        <w:jc w:val="center"/>
        <w:rPr>
          <w:sz w:val="28"/>
          <w:szCs w:val="28"/>
        </w:rPr>
      </w:pPr>
    </w:p>
    <w:p w:rsidR="00407061" w:rsidRDefault="00407061"/>
    <w:p w:rsidR="00407061" w:rsidRDefault="00407061"/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BBA" w:rsidRDefault="00483BBA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5A3" w:rsidRDefault="003B45A3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FAE" w:rsidRDefault="00237FAE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238" w:rsidRDefault="001D0238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76B" w:rsidRDefault="009F076B" w:rsidP="009F076B">
      <w:pPr>
        <w:pStyle w:val="a8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Благодарим Вас за выбор продукции компании</w:t>
      </w:r>
    </w:p>
    <w:p w:rsidR="009F076B" w:rsidRPr="009907DC" w:rsidRDefault="009F076B" w:rsidP="009F076B">
      <w:pPr>
        <w:pStyle w:val="a8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ООО АПП «</w:t>
      </w:r>
      <w:proofErr w:type="spellStart"/>
      <w:r w:rsidRPr="009907DC">
        <w:rPr>
          <w:b/>
          <w:sz w:val="24"/>
          <w:szCs w:val="24"/>
        </w:rPr>
        <w:t>Энергомаш</w:t>
      </w:r>
      <w:proofErr w:type="spellEnd"/>
      <w:r w:rsidRPr="009907DC">
        <w:rPr>
          <w:b/>
          <w:sz w:val="24"/>
          <w:szCs w:val="24"/>
        </w:rPr>
        <w:t>».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  <w:r>
        <w:t>Мы надеемся, что работа с нашим оборудованием принесет Вам только положительные эмоции.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  <w:r>
        <w:t xml:space="preserve"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</w:t>
      </w:r>
      <w:proofErr w:type="gramStart"/>
      <w:r>
        <w:t>удобную  эксплуатацию</w:t>
      </w:r>
      <w:proofErr w:type="gramEnd"/>
      <w:r>
        <w:t xml:space="preserve"> в течение всего срока службы оборудования.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  <w:r>
        <w:t>При проектировании и производстве оборудования особое внимание мы уделяем мерам по безопасности и удобству при эксплуатации. Поэтому перед  началом работ важно изучить данную инструкцию по эксплуатации.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  <w:r>
        <w:t xml:space="preserve">Благодаря постоянному взаимодействию  с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  <w:r>
        <w:t xml:space="preserve">Нам важно Ваше мнение о товаре. Свой отзыв и замечания Вы можете отправить  нам на </w:t>
      </w:r>
      <w:r>
        <w:rPr>
          <w:lang w:val="en-US"/>
        </w:rPr>
        <w:t>e</w:t>
      </w:r>
      <w:r w:rsidRPr="00D63449">
        <w:t>-</w:t>
      </w:r>
      <w:r>
        <w:rPr>
          <w:lang w:val="en-US"/>
        </w:rPr>
        <w:t>mail</w:t>
      </w:r>
      <w:r w:rsidRPr="00D63449">
        <w:t xml:space="preserve">: </w:t>
      </w:r>
      <w:r w:rsidR="00D00A07">
        <w:rPr>
          <w:b/>
        </w:rPr>
        <w:t>em.app@mail.ru</w:t>
      </w: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Pr="00403E10" w:rsidRDefault="009F076B" w:rsidP="009F076B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9F076B" w:rsidRDefault="009F076B" w:rsidP="009F076B">
      <w:pPr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эксплуатации– 12 месяцев со дня продажи, при условии соблюдения потребителем правил транспортировки, хранения и эксплуатации. </w:t>
      </w:r>
    </w:p>
    <w:p w:rsidR="009F076B" w:rsidRPr="0002102F" w:rsidRDefault="009F076B" w:rsidP="009F076B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02102F">
        <w:rPr>
          <w:rFonts w:ascii="Times New Roman" w:hAnsi="Times New Roman"/>
          <w:b/>
          <w:sz w:val="24"/>
          <w:szCs w:val="24"/>
        </w:rPr>
        <w:t>Свидетельство о приемке.</w:t>
      </w:r>
    </w:p>
    <w:p w:rsidR="009F076B" w:rsidRPr="00455349" w:rsidRDefault="009F076B" w:rsidP="009F076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 изолирующий типа БИ</w:t>
      </w:r>
      <w:r w:rsidRPr="00455349">
        <w:rPr>
          <w:rFonts w:ascii="Times New Roman" w:hAnsi="Times New Roman"/>
          <w:sz w:val="24"/>
          <w:szCs w:val="24"/>
        </w:rPr>
        <w:t xml:space="preserve">- ______ </w:t>
      </w:r>
      <w:r>
        <w:rPr>
          <w:rFonts w:ascii="Times New Roman" w:hAnsi="Times New Roman"/>
          <w:sz w:val="24"/>
          <w:szCs w:val="24"/>
        </w:rPr>
        <w:t>в количестве ______шт.</w:t>
      </w:r>
      <w:r w:rsidRPr="00455349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455349">
        <w:rPr>
          <w:rFonts w:ascii="Times New Roman" w:hAnsi="Times New Roman"/>
          <w:sz w:val="24"/>
          <w:szCs w:val="24"/>
        </w:rPr>
        <w:t>соответствует  техническим</w:t>
      </w:r>
      <w:proofErr w:type="gramEnd"/>
      <w:r w:rsidRPr="00455349">
        <w:rPr>
          <w:rFonts w:ascii="Times New Roman" w:hAnsi="Times New Roman"/>
          <w:sz w:val="24"/>
          <w:szCs w:val="24"/>
        </w:rPr>
        <w:t xml:space="preserve"> требованиям конструкторской документации</w:t>
      </w:r>
      <w:r>
        <w:rPr>
          <w:rFonts w:ascii="Times New Roman" w:hAnsi="Times New Roman"/>
          <w:sz w:val="24"/>
          <w:szCs w:val="24"/>
        </w:rPr>
        <w:t>: БИ-4.000.000СБ., БИ-8.000.000</w:t>
      </w:r>
      <w:r w:rsidRPr="00455349">
        <w:rPr>
          <w:rFonts w:ascii="Times New Roman" w:hAnsi="Times New Roman"/>
          <w:sz w:val="24"/>
          <w:szCs w:val="24"/>
        </w:rPr>
        <w:t>СБ</w:t>
      </w:r>
      <w:r>
        <w:rPr>
          <w:rFonts w:ascii="Times New Roman" w:hAnsi="Times New Roman"/>
          <w:sz w:val="24"/>
          <w:szCs w:val="24"/>
        </w:rPr>
        <w:t>., БИ-20</w:t>
      </w:r>
      <w:r w:rsidRPr="00455349">
        <w:rPr>
          <w:rFonts w:ascii="Times New Roman" w:hAnsi="Times New Roman"/>
          <w:sz w:val="24"/>
          <w:szCs w:val="24"/>
        </w:rPr>
        <w:t>.000.000.СБ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5349">
        <w:rPr>
          <w:rFonts w:ascii="Times New Roman" w:hAnsi="Times New Roman"/>
          <w:sz w:val="24"/>
          <w:szCs w:val="24"/>
        </w:rPr>
        <w:t>(нужное подчеркнуть) и признан годным к эксплуатации.</w:t>
      </w:r>
    </w:p>
    <w:p w:rsidR="009F076B" w:rsidRPr="00433C3B" w:rsidRDefault="009F076B" w:rsidP="009F076B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 xml:space="preserve">М.П. </w:t>
      </w:r>
      <w:bookmarkStart w:id="0" w:name="_GoBack"/>
      <w:bookmarkEnd w:id="0"/>
    </w:p>
    <w:p w:rsidR="009F076B" w:rsidRPr="00433C3B" w:rsidRDefault="009F076B" w:rsidP="009F076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9F076B" w:rsidRPr="00433C3B" w:rsidRDefault="009F076B" w:rsidP="009F076B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____________________________________</w:t>
      </w:r>
    </w:p>
    <w:p w:rsidR="009F076B" w:rsidRPr="00433C3B" w:rsidRDefault="009F076B" w:rsidP="009F076B">
      <w:pPr>
        <w:pStyle w:val="a5"/>
        <w:ind w:left="567"/>
        <w:rPr>
          <w:rFonts w:ascii="Times New Roman" w:hAnsi="Times New Roman"/>
          <w:sz w:val="24"/>
          <w:szCs w:val="24"/>
        </w:rPr>
      </w:pPr>
      <w:r w:rsidRPr="00433C3B">
        <w:rPr>
          <w:rFonts w:ascii="Times New Roman" w:hAnsi="Times New Roman"/>
          <w:sz w:val="24"/>
          <w:szCs w:val="24"/>
        </w:rPr>
        <w:t>(подпись лица ответственного за приемку)</w:t>
      </w:r>
    </w:p>
    <w:p w:rsidR="009F076B" w:rsidRPr="00403E10" w:rsidRDefault="009F076B" w:rsidP="009F076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F076B" w:rsidRPr="00403E10" w:rsidRDefault="009F076B" w:rsidP="009F076B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9F076B" w:rsidRPr="00342DD7" w:rsidRDefault="009F076B" w:rsidP="009F076B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Pr="00403E10">
        <w:rPr>
          <w:rFonts w:ascii="Times New Roman" w:hAnsi="Times New Roman" w:cs="Times New Roman"/>
          <w:sz w:val="24"/>
          <w:szCs w:val="24"/>
        </w:rPr>
        <w:t xml:space="preserve">453300,   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pStyle w:val="a8"/>
        <w:jc w:val="both"/>
      </w:pPr>
    </w:p>
    <w:p w:rsidR="009F076B" w:rsidRDefault="009F076B" w:rsidP="009F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076B" w:rsidRPr="00A10743" w:rsidRDefault="009F076B" w:rsidP="00A10743">
      <w:pPr>
        <w:pStyle w:val="a5"/>
        <w:numPr>
          <w:ilvl w:val="0"/>
          <w:numId w:val="16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A10743">
        <w:rPr>
          <w:rFonts w:ascii="Times New Roman" w:eastAsia="Calibri" w:hAnsi="Times New Roman" w:cs="Times New Roman"/>
          <w:b/>
          <w:sz w:val="24"/>
          <w:szCs w:val="24"/>
        </w:rPr>
        <w:t>Срок эксплуатации</w:t>
      </w:r>
    </w:p>
    <w:p w:rsidR="009F076B" w:rsidRDefault="009F076B" w:rsidP="009F07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76B" w:rsidRPr="0033101E" w:rsidRDefault="009F076B" w:rsidP="009F07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13E542A" wp14:editId="1F2F9C49">
            <wp:simplePos x="0" y="0"/>
            <wp:positionH relativeFrom="column">
              <wp:posOffset>600711</wp:posOffset>
            </wp:positionH>
            <wp:positionV relativeFrom="paragraph">
              <wp:posOffset>368936</wp:posOffset>
            </wp:positionV>
            <wp:extent cx="3810000" cy="4436748"/>
            <wp:effectExtent l="0" t="0" r="0" b="0"/>
            <wp:wrapNone/>
            <wp:docPr id="1" name="Рисунок 2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219" cy="444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01E">
        <w:rPr>
          <w:rFonts w:ascii="Times New Roman" w:eastAsia="Calibri" w:hAnsi="Times New Roman" w:cs="Times New Roman"/>
          <w:sz w:val="24"/>
          <w:szCs w:val="24"/>
        </w:rPr>
        <w:t>Срок эксплуатации блока - 5 лет</w:t>
      </w:r>
      <w:r>
        <w:rPr>
          <w:rFonts w:ascii="Times New Roman" w:eastAsia="Calibri" w:hAnsi="Times New Roman" w:cs="Times New Roman"/>
          <w:sz w:val="24"/>
          <w:szCs w:val="24"/>
        </w:rPr>
        <w:t>. Фактический срок службы не ограничивается указанным, а определяется техническим состоянием изделия.</w:t>
      </w: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Рисунок 2: Схема испытания изолирующих блоков </w:t>
      </w:r>
    </w:p>
    <w:p w:rsidR="009F076B" w:rsidRDefault="009F076B" w:rsidP="009F076B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а, б - с помощью груза; в - с помощью динамометра.                              1- Изолирующий блок №1; 2-Канат; 3-Изолирующий блок №2; 4-Динамометр</w:t>
      </w:r>
    </w:p>
    <w:p w:rsidR="00342DD7" w:rsidRDefault="00342DD7" w:rsidP="003B45A3">
      <w:pPr>
        <w:rPr>
          <w:rFonts w:ascii="Times New Roman" w:hAnsi="Times New Roman" w:cs="Times New Roman"/>
          <w:sz w:val="28"/>
          <w:szCs w:val="28"/>
        </w:rPr>
      </w:pPr>
    </w:p>
    <w:p w:rsidR="00F92F58" w:rsidRPr="00A10743" w:rsidRDefault="00403E10" w:rsidP="00A10743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3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F92F58" w:rsidRPr="00F92F58" w:rsidRDefault="00F92F58" w:rsidP="00F92F58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F2E72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Блоки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изолирующие типа БИ предназначены для перепускания изолирующего (синтетического) каната при проведении работ на опорах воздушных линий электропередачи без снятия напряжения</w:t>
      </w:r>
      <w:r w:rsidR="009F2E72" w:rsidRPr="003B45A3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Блоки изготавливаются в климатическом исполнении УХЛ категории 1 по ГОСТ 15150.</w:t>
      </w: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Устройство блока показано на рисунке 1:</w:t>
      </w:r>
    </w:p>
    <w:p w:rsidR="00F92F58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noProof/>
          <w:spacing w:val="-12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33655</wp:posOffset>
            </wp:positionV>
            <wp:extent cx="2676525" cy="4238625"/>
            <wp:effectExtent l="19050" t="0" r="9525" b="0"/>
            <wp:wrapNone/>
            <wp:docPr id="4" name="Рисунок 3" descr="Б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F92F58" w:rsidRDefault="00F92F58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02102F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02102F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02102F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02102F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02102F" w:rsidRDefault="0002102F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984D75" w:rsidRPr="0002102F" w:rsidRDefault="00F92F58" w:rsidP="0002102F">
      <w:pPr>
        <w:pStyle w:val="a5"/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Рис. 1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Блок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</w:rPr>
        <w:t xml:space="preserve"> изолирующий БИ.</w:t>
      </w:r>
    </w:p>
    <w:p w:rsidR="003D17CA" w:rsidRDefault="003D17CA" w:rsidP="00A10743">
      <w:pPr>
        <w:pStyle w:val="a5"/>
        <w:numPr>
          <w:ilvl w:val="0"/>
          <w:numId w:val="15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F92F58" w:rsidRDefault="00F92F58" w:rsidP="00F92F58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F4850" w:rsidRPr="009F076B" w:rsidRDefault="00F92F58" w:rsidP="009F076B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  <w:r w:rsidRPr="00F92F58">
        <w:rPr>
          <w:rFonts w:ascii="Times New Roman" w:hAnsi="Times New Roman" w:cs="Times New Roman"/>
          <w:sz w:val="24"/>
          <w:szCs w:val="24"/>
        </w:rPr>
        <w:t xml:space="preserve">Основные параметры и размеры </w:t>
      </w:r>
      <w:proofErr w:type="gramStart"/>
      <w:r w:rsidRPr="00F92F58">
        <w:rPr>
          <w:rFonts w:ascii="Times New Roman" w:hAnsi="Times New Roman" w:cs="Times New Roman"/>
          <w:sz w:val="24"/>
          <w:szCs w:val="24"/>
        </w:rPr>
        <w:t>блоков</w:t>
      </w:r>
      <w:proofErr w:type="gramEnd"/>
      <w:r w:rsidRPr="00F92F58">
        <w:rPr>
          <w:rFonts w:ascii="Times New Roman" w:hAnsi="Times New Roman" w:cs="Times New Roman"/>
          <w:sz w:val="24"/>
          <w:szCs w:val="24"/>
        </w:rPr>
        <w:t xml:space="preserve"> и</w:t>
      </w:r>
      <w:r w:rsidR="009F076B">
        <w:rPr>
          <w:rFonts w:ascii="Times New Roman" w:hAnsi="Times New Roman" w:cs="Times New Roman"/>
          <w:sz w:val="24"/>
          <w:szCs w:val="24"/>
        </w:rPr>
        <w:t xml:space="preserve">золирующих приведены в таблице </w:t>
      </w:r>
    </w:p>
    <w:p w:rsidR="003D1858" w:rsidRDefault="003D1858" w:rsidP="003D1858">
      <w:pPr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4"/>
        <w:gridCol w:w="1278"/>
        <w:gridCol w:w="1139"/>
        <w:gridCol w:w="1469"/>
        <w:gridCol w:w="937"/>
        <w:gridCol w:w="1213"/>
        <w:gridCol w:w="871"/>
      </w:tblGrid>
      <w:tr w:rsidR="003D1858" w:rsidRPr="003D1858" w:rsidTr="003D1858"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Марка блока</w:t>
            </w:r>
          </w:p>
        </w:tc>
        <w:tc>
          <w:tcPr>
            <w:tcW w:w="0" w:type="auto"/>
          </w:tcPr>
          <w:p w:rsidR="003D1858" w:rsidRPr="003D1858" w:rsidRDefault="00B920E7" w:rsidP="00B920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</w:t>
            </w:r>
            <w:r w:rsidR="003D1858" w:rsidRPr="003D1858">
              <w:rPr>
                <w:rFonts w:ascii="Times New Roman" w:eastAsia="Calibri" w:hAnsi="Times New Roman" w:cs="Times New Roman"/>
              </w:rPr>
              <w:t>бочая нагрузка на грузовой петле блока, кН, не более</w:t>
            </w:r>
          </w:p>
        </w:tc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 xml:space="preserve">Диаметр ролика по ручью, </w:t>
            </w:r>
            <w:r w:rsidRPr="003D185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D1858">
              <w:rPr>
                <w:rFonts w:ascii="Times New Roman" w:eastAsia="Calibri" w:hAnsi="Times New Roman" w:cs="Times New Roman"/>
              </w:rPr>
              <w:t>, мм</w:t>
            </w:r>
          </w:p>
        </w:tc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 xml:space="preserve">Габаритный диаметр ролика, </w:t>
            </w:r>
            <w:r w:rsidRPr="003D1858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3D1858">
              <w:rPr>
                <w:rFonts w:ascii="Times New Roman" w:eastAsia="Calibri" w:hAnsi="Times New Roman" w:cs="Times New Roman"/>
              </w:rPr>
              <w:t>, мм</w:t>
            </w:r>
          </w:p>
        </w:tc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 xml:space="preserve">Радиус ручья, </w:t>
            </w:r>
            <w:r w:rsidRPr="003D1858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3D1858">
              <w:rPr>
                <w:rFonts w:ascii="Times New Roman" w:eastAsia="Calibri" w:hAnsi="Times New Roman" w:cs="Times New Roman"/>
              </w:rPr>
              <w:t>, мм</w:t>
            </w:r>
          </w:p>
        </w:tc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Материал ролика</w:t>
            </w:r>
          </w:p>
        </w:tc>
        <w:tc>
          <w:tcPr>
            <w:tcW w:w="0" w:type="auto"/>
          </w:tcPr>
          <w:p w:rsidR="003D1858" w:rsidRPr="003D1858" w:rsidRDefault="003D1858" w:rsidP="009F2E72">
            <w:pPr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Масса, кг</w:t>
            </w:r>
          </w:p>
        </w:tc>
      </w:tr>
      <w:tr w:rsidR="003D1858" w:rsidRPr="003D1858" w:rsidTr="003D1858"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БИ-4</w:t>
            </w:r>
          </w:p>
        </w:tc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vMerge w:val="restart"/>
          </w:tcPr>
          <w:p w:rsidR="003D1858" w:rsidRPr="003D1858" w:rsidRDefault="00B746A5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Полиамид</w:t>
            </w:r>
          </w:p>
        </w:tc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3D1858" w:rsidRPr="003D1858" w:rsidTr="003D1858"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БИ-8</w:t>
            </w:r>
          </w:p>
        </w:tc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  <w:vMerge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D1858" w:rsidRPr="009708D0" w:rsidRDefault="00ED0A51" w:rsidP="008F4850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708D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3D1858" w:rsidRPr="003D1858" w:rsidTr="003D1858"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БИ-20</w:t>
            </w:r>
          </w:p>
        </w:tc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3D1858" w:rsidRPr="003D1858" w:rsidRDefault="00304B17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0" w:type="auto"/>
            <w:vMerge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3D1858" w:rsidRPr="003D1858" w:rsidRDefault="003D1858" w:rsidP="008F48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1858">
              <w:rPr>
                <w:rFonts w:ascii="Times New Roman" w:eastAsia="Calibri" w:hAnsi="Times New Roman" w:cs="Times New Roman"/>
              </w:rPr>
              <w:t>3,7</w:t>
            </w:r>
          </w:p>
        </w:tc>
      </w:tr>
    </w:tbl>
    <w:p w:rsidR="009F2E72" w:rsidRDefault="003D1858" w:rsidP="00B920E7">
      <w:pPr>
        <w:pStyle w:val="a8"/>
        <w:rPr>
          <w:rFonts w:eastAsia="Calibri"/>
          <w:sz w:val="24"/>
          <w:szCs w:val="24"/>
        </w:rPr>
      </w:pPr>
      <w:r w:rsidRPr="00B920E7">
        <w:rPr>
          <w:rFonts w:eastAsia="Calibri"/>
          <w:sz w:val="24"/>
          <w:szCs w:val="24"/>
        </w:rPr>
        <w:t>Диапазон рабочих температур -40…+40ºС.</w:t>
      </w:r>
    </w:p>
    <w:p w:rsidR="00B920E7" w:rsidRPr="00B920E7" w:rsidRDefault="00B920E7" w:rsidP="00B920E7">
      <w:pPr>
        <w:pStyle w:val="a8"/>
        <w:rPr>
          <w:rFonts w:eastAsia="Calibri"/>
          <w:sz w:val="24"/>
          <w:szCs w:val="24"/>
        </w:rPr>
      </w:pPr>
    </w:p>
    <w:p w:rsidR="003D1858" w:rsidRPr="00C40EF9" w:rsidRDefault="003D1858" w:rsidP="00A10743">
      <w:pPr>
        <w:pStyle w:val="a5"/>
        <w:numPr>
          <w:ilvl w:val="0"/>
          <w:numId w:val="15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C40EF9">
        <w:rPr>
          <w:rFonts w:ascii="Times New Roman" w:eastAsia="Calibri" w:hAnsi="Times New Roman" w:cs="Times New Roman"/>
          <w:b/>
          <w:sz w:val="24"/>
          <w:szCs w:val="24"/>
        </w:rPr>
        <w:t xml:space="preserve">Комплектность </w:t>
      </w:r>
    </w:p>
    <w:p w:rsidR="003D1858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Блок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изолирующий БИ в сборе -1 шт.</w:t>
      </w: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Паспорт и руководство по эксплуатации изделия -1 шт.</w:t>
      </w: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F71" w:rsidRDefault="00627F71" w:rsidP="00A1074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7F71">
        <w:rPr>
          <w:rFonts w:ascii="Times New Roman" w:eastAsia="Calibri" w:hAnsi="Times New Roman" w:cs="Times New Roman"/>
          <w:b/>
          <w:sz w:val="24"/>
          <w:szCs w:val="24"/>
        </w:rPr>
        <w:t xml:space="preserve">Условие транспортировки и хранения </w:t>
      </w: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7F71">
        <w:rPr>
          <w:rFonts w:ascii="Times New Roman" w:eastAsia="Calibri" w:hAnsi="Times New Roman" w:cs="Times New Roman"/>
          <w:sz w:val="24"/>
          <w:szCs w:val="24"/>
        </w:rPr>
        <w:t xml:space="preserve">Срок хранения не более трех </w:t>
      </w:r>
      <w:proofErr w:type="gramStart"/>
      <w:r w:rsidRPr="00627F71">
        <w:rPr>
          <w:rFonts w:ascii="Times New Roman" w:eastAsia="Calibri" w:hAnsi="Times New Roman" w:cs="Times New Roman"/>
          <w:sz w:val="24"/>
          <w:szCs w:val="24"/>
        </w:rPr>
        <w:t>лет  при</w:t>
      </w:r>
      <w:proofErr w:type="gramEnd"/>
      <w:r w:rsidRPr="00627F71">
        <w:rPr>
          <w:rFonts w:ascii="Times New Roman" w:eastAsia="Calibri" w:hAnsi="Times New Roman" w:cs="Times New Roman"/>
          <w:sz w:val="24"/>
          <w:szCs w:val="24"/>
        </w:rPr>
        <w:t xml:space="preserve">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</w:t>
      </w:r>
      <w:r>
        <w:rPr>
          <w:rFonts w:ascii="Times New Roman" w:eastAsia="Calibri" w:hAnsi="Times New Roman" w:cs="Times New Roman"/>
          <w:sz w:val="24"/>
          <w:szCs w:val="24"/>
        </w:rPr>
        <w:t>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F71" w:rsidRPr="00627F71" w:rsidRDefault="00627F71" w:rsidP="00A1074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7F71">
        <w:rPr>
          <w:rFonts w:ascii="Times New Roman" w:eastAsia="Calibri" w:hAnsi="Times New Roman" w:cs="Times New Roman"/>
          <w:b/>
          <w:sz w:val="24"/>
          <w:szCs w:val="24"/>
        </w:rPr>
        <w:t xml:space="preserve">Указания мер безопасности </w:t>
      </w:r>
    </w:p>
    <w:p w:rsidR="00627F71" w:rsidRDefault="00627F71" w:rsidP="00627F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F71" w:rsidRPr="00627F71" w:rsidRDefault="00627F71" w:rsidP="00A10743">
      <w:pPr>
        <w:pStyle w:val="a5"/>
        <w:numPr>
          <w:ilvl w:val="1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7F71">
        <w:rPr>
          <w:rFonts w:ascii="Times New Roman" w:eastAsia="Calibri" w:hAnsi="Times New Roman" w:cs="Times New Roman"/>
          <w:sz w:val="24"/>
          <w:szCs w:val="24"/>
        </w:rPr>
        <w:t>Блок</w:t>
      </w:r>
      <w:proofErr w:type="gramEnd"/>
      <w:r w:rsidRPr="00627F71">
        <w:rPr>
          <w:rFonts w:ascii="Times New Roman" w:eastAsia="Calibri" w:hAnsi="Times New Roman" w:cs="Times New Roman"/>
          <w:sz w:val="24"/>
          <w:szCs w:val="24"/>
        </w:rPr>
        <w:t xml:space="preserve"> изолирующий должен осматриваться не реже, чем 1 раз в 6 месяцев. Кроме того состояние блока проверяется визуально перед каждым применением.</w:t>
      </w:r>
    </w:p>
    <w:p w:rsidR="00F25F16" w:rsidRDefault="00627F71" w:rsidP="00A10743">
      <w:pPr>
        <w:pStyle w:val="a5"/>
        <w:numPr>
          <w:ilvl w:val="1"/>
          <w:numId w:val="15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внешнем осмотре следует убедиться, что блок испытан и имеет на видном месте указания грузоподъемности и даты </w:t>
      </w:r>
      <w:r w:rsidR="000D71B8">
        <w:rPr>
          <w:rFonts w:ascii="Times New Roman" w:eastAsia="Calibri" w:hAnsi="Times New Roman" w:cs="Times New Roman"/>
          <w:sz w:val="24"/>
          <w:szCs w:val="24"/>
        </w:rPr>
        <w:t xml:space="preserve">следующего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испытания. </w:t>
      </w:r>
      <w:r w:rsidR="00F25F16">
        <w:rPr>
          <w:rFonts w:ascii="Times New Roman" w:eastAsia="Calibri" w:hAnsi="Times New Roman" w:cs="Times New Roman"/>
          <w:sz w:val="24"/>
          <w:szCs w:val="24"/>
        </w:rPr>
        <w:t>Следует проверить общее состояние, наличие смазки и легкость вращения ролик на оси, обратить внимание на состояние грузовой петли с целью определение трещин и других дефектов.</w:t>
      </w:r>
    </w:p>
    <w:p w:rsidR="000D71B8" w:rsidRPr="008F4850" w:rsidRDefault="000D71B8" w:rsidP="000D71B8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F25F16" w:rsidRDefault="00F25F16" w:rsidP="00A10743">
      <w:pPr>
        <w:pStyle w:val="a5"/>
        <w:numPr>
          <w:ilvl w:val="0"/>
          <w:numId w:val="15"/>
        </w:numPr>
        <w:spacing w:after="0" w:line="240" w:lineRule="auto"/>
        <w:ind w:hanging="76"/>
        <w:rPr>
          <w:rFonts w:ascii="Times New Roman" w:eastAsia="Calibri" w:hAnsi="Times New Roman" w:cs="Times New Roman"/>
          <w:b/>
          <w:sz w:val="24"/>
          <w:szCs w:val="24"/>
        </w:rPr>
      </w:pPr>
      <w:r w:rsidRPr="00F25F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Техническое обслуживание</w:t>
      </w:r>
    </w:p>
    <w:p w:rsidR="00F25F16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F16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25F16">
        <w:rPr>
          <w:rFonts w:ascii="Times New Roman" w:eastAsia="Calibri" w:hAnsi="Times New Roman" w:cs="Times New Roman"/>
          <w:sz w:val="24"/>
          <w:szCs w:val="24"/>
        </w:rPr>
        <w:t>Шарикоподшипники блоков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обслуживаемые,  трущиеся детали должны быть смазаны консистентной смазкой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литол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24, ЦИАТИМ 203, солидол Ж). Резьбовые соединения должны быть затянуты (не иметь люфтов) и содержать элементы, препятствующие самопроизвольному ослаблению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самоотвинчиванию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крепежных соединений.</w:t>
      </w:r>
    </w:p>
    <w:p w:rsidR="00F25F16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25F16" w:rsidRPr="00F25F16" w:rsidRDefault="00F25F16" w:rsidP="00A10743">
      <w:pPr>
        <w:pStyle w:val="a5"/>
        <w:numPr>
          <w:ilvl w:val="0"/>
          <w:numId w:val="15"/>
        </w:numPr>
        <w:spacing w:after="0" w:line="240" w:lineRule="auto"/>
        <w:ind w:hanging="76"/>
        <w:rPr>
          <w:rFonts w:ascii="Times New Roman" w:eastAsia="Calibri" w:hAnsi="Times New Roman" w:cs="Times New Roman"/>
          <w:b/>
          <w:sz w:val="24"/>
          <w:szCs w:val="24"/>
        </w:rPr>
      </w:pPr>
      <w:r w:rsidRPr="00F25F16">
        <w:rPr>
          <w:rFonts w:ascii="Times New Roman" w:eastAsia="Calibri" w:hAnsi="Times New Roman" w:cs="Times New Roman"/>
          <w:b/>
          <w:sz w:val="24"/>
          <w:szCs w:val="24"/>
        </w:rPr>
        <w:t>Эксплуатационные испытания</w:t>
      </w:r>
    </w:p>
    <w:p w:rsidR="00F25F16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F25F16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7.1. В процессе эксплуатации блоки должны подвергаться периодическим испытаниям не реже 1 раза в 12 месяцев.</w:t>
      </w:r>
    </w:p>
    <w:p w:rsidR="00F43BDC" w:rsidRDefault="00F25F16" w:rsidP="00F25F16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7.2. Испытания на проверку прочности изолирующие блоки должны проходить </w:t>
      </w:r>
      <w:r w:rsidR="003F350E">
        <w:rPr>
          <w:rFonts w:ascii="Times New Roman" w:eastAsia="Calibri" w:hAnsi="Times New Roman" w:cs="Times New Roman"/>
          <w:sz w:val="24"/>
          <w:szCs w:val="24"/>
        </w:rPr>
        <w:t xml:space="preserve">одним из способов по схемам, приведенным на рисунке </w:t>
      </w:r>
      <w:r w:rsidR="00620691">
        <w:rPr>
          <w:rFonts w:ascii="Times New Roman" w:eastAsia="Calibri" w:hAnsi="Times New Roman" w:cs="Times New Roman"/>
          <w:sz w:val="24"/>
          <w:szCs w:val="24"/>
        </w:rPr>
        <w:t>2</w:t>
      </w:r>
      <w:r w:rsidR="003F350E">
        <w:rPr>
          <w:rFonts w:ascii="Times New Roman" w:eastAsia="Calibri" w:hAnsi="Times New Roman" w:cs="Times New Roman"/>
          <w:sz w:val="24"/>
          <w:szCs w:val="24"/>
        </w:rPr>
        <w:t xml:space="preserve">. Блоки могут испытываться либо попарно, соединяемые бесконечным (замкнутым) канатом (рис. </w:t>
      </w:r>
      <w:r w:rsidR="00620691">
        <w:rPr>
          <w:rFonts w:ascii="Times New Roman" w:eastAsia="Calibri" w:hAnsi="Times New Roman" w:cs="Times New Roman"/>
          <w:sz w:val="24"/>
          <w:szCs w:val="24"/>
        </w:rPr>
        <w:t>2</w:t>
      </w:r>
      <w:r w:rsidR="003F350E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620691">
        <w:rPr>
          <w:rFonts w:ascii="Times New Roman" w:eastAsia="Calibri" w:hAnsi="Times New Roman" w:cs="Times New Roman"/>
          <w:sz w:val="24"/>
          <w:szCs w:val="24"/>
        </w:rPr>
        <w:t>2</w:t>
      </w:r>
      <w:r w:rsidR="003F350E">
        <w:rPr>
          <w:rFonts w:ascii="Times New Roman" w:eastAsia="Calibri" w:hAnsi="Times New Roman" w:cs="Times New Roman"/>
          <w:sz w:val="24"/>
          <w:szCs w:val="24"/>
        </w:rPr>
        <w:t xml:space="preserve">в), либо по одному (рис. </w:t>
      </w:r>
      <w:r w:rsidR="00620691">
        <w:rPr>
          <w:rFonts w:ascii="Times New Roman" w:eastAsia="Calibri" w:hAnsi="Times New Roman" w:cs="Times New Roman"/>
          <w:sz w:val="24"/>
          <w:szCs w:val="24"/>
        </w:rPr>
        <w:t>2</w:t>
      </w:r>
      <w:r w:rsidR="003F350E">
        <w:rPr>
          <w:rFonts w:ascii="Times New Roman" w:eastAsia="Calibri" w:hAnsi="Times New Roman" w:cs="Times New Roman"/>
          <w:sz w:val="24"/>
          <w:szCs w:val="24"/>
        </w:rPr>
        <w:t xml:space="preserve">б). Испытательная система оснащается канатом (синтетическим) соответствующей грузоподъемности.  Использование в системе стального каната не желательно, так как при испытании он будет оставлять следы и задиры на </w:t>
      </w:r>
      <w:proofErr w:type="spellStart"/>
      <w:r w:rsidR="003F350E">
        <w:rPr>
          <w:rFonts w:ascii="Times New Roman" w:eastAsia="Calibri" w:hAnsi="Times New Roman" w:cs="Times New Roman"/>
          <w:sz w:val="24"/>
          <w:szCs w:val="24"/>
        </w:rPr>
        <w:t>капролоне</w:t>
      </w:r>
      <w:proofErr w:type="spellEnd"/>
      <w:r w:rsidR="003F350E">
        <w:rPr>
          <w:rFonts w:ascii="Times New Roman" w:eastAsia="Calibri" w:hAnsi="Times New Roman" w:cs="Times New Roman"/>
          <w:sz w:val="24"/>
          <w:szCs w:val="24"/>
        </w:rPr>
        <w:t xml:space="preserve"> из которого сделан ролик</w:t>
      </w:r>
      <w:r w:rsidR="00F43BD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3101E" w:rsidRDefault="00F43BDC" w:rsidP="008F4850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7.3. Усилие, прикладываемое к грузовой петле блока или к канату при испытании, должно соответствовать таблице 2. Схема испытания показана на рисунке 2. Испытательный груз (при испытании по способу рис. </w:t>
      </w:r>
      <w:r w:rsidR="00237FA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б поднимается и опускается так, чтобы ролики совершали по несколько оборотов. При испытании по схеме </w:t>
      </w:r>
      <w:r w:rsidR="00237FA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237FA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в вращение роликов под нагрузкой не менее, чем 1 оборот, осуществляется за счет передергивания петли каната с помощью дополнительного приспособления. Ролики должны вращаться равномерно, без перекосов и заеданий.</w:t>
      </w:r>
    </w:p>
    <w:p w:rsidR="00F43BDC" w:rsidRDefault="00F43BDC" w:rsidP="00F43BDC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951"/>
        <w:gridCol w:w="2399"/>
      </w:tblGrid>
      <w:tr w:rsidR="00F43BDC" w:rsidTr="0033101E">
        <w:trPr>
          <w:jc w:val="center"/>
        </w:trPr>
        <w:tc>
          <w:tcPr>
            <w:tcW w:w="0" w:type="auto"/>
            <w:vMerge w:val="restart"/>
          </w:tcPr>
          <w:p w:rsidR="00F43BDC" w:rsidRDefault="00F43BDC" w:rsidP="00F43B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 блока</w:t>
            </w:r>
          </w:p>
        </w:tc>
        <w:tc>
          <w:tcPr>
            <w:tcW w:w="0" w:type="auto"/>
            <w:gridSpan w:val="2"/>
          </w:tcPr>
          <w:p w:rsidR="00F43BDC" w:rsidRDefault="00F43BDC" w:rsidP="00F43B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Нагрузка в зависимости от схемы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нагружения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кН</w:t>
            </w:r>
          </w:p>
        </w:tc>
      </w:tr>
      <w:tr w:rsidR="00F43BDC" w:rsidTr="0033101E">
        <w:trPr>
          <w:jc w:val="center"/>
        </w:trPr>
        <w:tc>
          <w:tcPr>
            <w:tcW w:w="0" w:type="auto"/>
            <w:vMerge/>
          </w:tcPr>
          <w:p w:rsidR="00F43BDC" w:rsidRDefault="00F43BDC" w:rsidP="00F43BD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3BDC" w:rsidRDefault="00F43BDC" w:rsidP="00F43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Рис. 2а, в</w:t>
            </w:r>
          </w:p>
        </w:tc>
        <w:tc>
          <w:tcPr>
            <w:tcW w:w="0" w:type="auto"/>
          </w:tcPr>
          <w:p w:rsidR="00F43BDC" w:rsidRDefault="00F43BDC" w:rsidP="00F43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Рис. 2б</w:t>
            </w:r>
          </w:p>
        </w:tc>
      </w:tr>
      <w:tr w:rsidR="00F43BDC" w:rsidTr="0033101E">
        <w:trPr>
          <w:jc w:val="center"/>
        </w:trPr>
        <w:tc>
          <w:tcPr>
            <w:tcW w:w="0" w:type="auto"/>
          </w:tcPr>
          <w:p w:rsidR="00F43BDC" w:rsidRDefault="00F43BDC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БИ-4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43BDC" w:rsidTr="0033101E">
        <w:trPr>
          <w:jc w:val="center"/>
        </w:trPr>
        <w:tc>
          <w:tcPr>
            <w:tcW w:w="0" w:type="auto"/>
          </w:tcPr>
          <w:p w:rsidR="00F43BDC" w:rsidRDefault="00F43BDC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БИ-8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F43BDC" w:rsidTr="0033101E">
        <w:trPr>
          <w:jc w:val="center"/>
        </w:trPr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БИ-20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F43BDC" w:rsidRDefault="0033101E" w:rsidP="00331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</w:tr>
    </w:tbl>
    <w:p w:rsidR="0033101E" w:rsidRDefault="0033101E" w:rsidP="0033101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8F4850" w:rsidRDefault="0033101E" w:rsidP="009F076B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7.4. Время приложения испытательной нагрузки -</w:t>
      </w:r>
      <w:r w:rsidR="00237FAE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мин.</w:t>
      </w:r>
    </w:p>
    <w:sectPr w:rsidR="008F4850" w:rsidSect="00B920E7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E4C09"/>
    <w:multiLevelType w:val="multilevel"/>
    <w:tmpl w:val="41301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844C7E"/>
    <w:multiLevelType w:val="hybridMultilevel"/>
    <w:tmpl w:val="0DF249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1E35F7D"/>
    <w:multiLevelType w:val="hybridMultilevel"/>
    <w:tmpl w:val="47D4F2D4"/>
    <w:lvl w:ilvl="0" w:tplc="DB88690C">
      <w:start w:val="4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1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63EB6"/>
    <w:multiLevelType w:val="hybridMultilevel"/>
    <w:tmpl w:val="A50C3B86"/>
    <w:lvl w:ilvl="0" w:tplc="42227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4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7061"/>
    <w:rsid w:val="0002102F"/>
    <w:rsid w:val="000360B0"/>
    <w:rsid w:val="000609CA"/>
    <w:rsid w:val="000D71B8"/>
    <w:rsid w:val="000E597E"/>
    <w:rsid w:val="000F72E2"/>
    <w:rsid w:val="00105CA2"/>
    <w:rsid w:val="0011276A"/>
    <w:rsid w:val="00112BEC"/>
    <w:rsid w:val="00115D19"/>
    <w:rsid w:val="00137D12"/>
    <w:rsid w:val="00167816"/>
    <w:rsid w:val="00176A8B"/>
    <w:rsid w:val="001A454E"/>
    <w:rsid w:val="001A5634"/>
    <w:rsid w:val="001D0238"/>
    <w:rsid w:val="001E3963"/>
    <w:rsid w:val="002069F5"/>
    <w:rsid w:val="00237FAE"/>
    <w:rsid w:val="0024140C"/>
    <w:rsid w:val="00245EF5"/>
    <w:rsid w:val="002522C6"/>
    <w:rsid w:val="00265D7C"/>
    <w:rsid w:val="00287807"/>
    <w:rsid w:val="002B2A85"/>
    <w:rsid w:val="002C5F5D"/>
    <w:rsid w:val="002D036E"/>
    <w:rsid w:val="002E00EE"/>
    <w:rsid w:val="00304B17"/>
    <w:rsid w:val="0033101E"/>
    <w:rsid w:val="00336554"/>
    <w:rsid w:val="00342DD7"/>
    <w:rsid w:val="00396EA7"/>
    <w:rsid w:val="00397636"/>
    <w:rsid w:val="003B45A3"/>
    <w:rsid w:val="003D17CA"/>
    <w:rsid w:val="003D1858"/>
    <w:rsid w:val="003E3773"/>
    <w:rsid w:val="003F350E"/>
    <w:rsid w:val="00403E10"/>
    <w:rsid w:val="00407061"/>
    <w:rsid w:val="00421A88"/>
    <w:rsid w:val="00432D45"/>
    <w:rsid w:val="00453739"/>
    <w:rsid w:val="004657A4"/>
    <w:rsid w:val="00483BBA"/>
    <w:rsid w:val="00487A9B"/>
    <w:rsid w:val="004C7A75"/>
    <w:rsid w:val="004E54A1"/>
    <w:rsid w:val="004E6BD5"/>
    <w:rsid w:val="00533F4D"/>
    <w:rsid w:val="00540B50"/>
    <w:rsid w:val="00562D89"/>
    <w:rsid w:val="005857A3"/>
    <w:rsid w:val="005A77A5"/>
    <w:rsid w:val="005B03E0"/>
    <w:rsid w:val="005B6F6B"/>
    <w:rsid w:val="005D2A95"/>
    <w:rsid w:val="005F19B5"/>
    <w:rsid w:val="00611B50"/>
    <w:rsid w:val="00613C2C"/>
    <w:rsid w:val="00620691"/>
    <w:rsid w:val="00627F71"/>
    <w:rsid w:val="00634DFD"/>
    <w:rsid w:val="00661C5F"/>
    <w:rsid w:val="0066611F"/>
    <w:rsid w:val="006727BF"/>
    <w:rsid w:val="00681C6F"/>
    <w:rsid w:val="00694919"/>
    <w:rsid w:val="006A23F5"/>
    <w:rsid w:val="006A7704"/>
    <w:rsid w:val="006C4603"/>
    <w:rsid w:val="00703BA3"/>
    <w:rsid w:val="007337DF"/>
    <w:rsid w:val="007701D7"/>
    <w:rsid w:val="0078474B"/>
    <w:rsid w:val="007873FB"/>
    <w:rsid w:val="007C1DDC"/>
    <w:rsid w:val="0081233F"/>
    <w:rsid w:val="00813387"/>
    <w:rsid w:val="00821BA7"/>
    <w:rsid w:val="008263A4"/>
    <w:rsid w:val="00847C8A"/>
    <w:rsid w:val="00847D56"/>
    <w:rsid w:val="008903A4"/>
    <w:rsid w:val="0089296F"/>
    <w:rsid w:val="008A4E1A"/>
    <w:rsid w:val="008F4850"/>
    <w:rsid w:val="008F794B"/>
    <w:rsid w:val="009018BE"/>
    <w:rsid w:val="00905A50"/>
    <w:rsid w:val="00921D15"/>
    <w:rsid w:val="00967C8F"/>
    <w:rsid w:val="009708D0"/>
    <w:rsid w:val="00984D75"/>
    <w:rsid w:val="009E69DB"/>
    <w:rsid w:val="009F076B"/>
    <w:rsid w:val="009F2E72"/>
    <w:rsid w:val="00A10743"/>
    <w:rsid w:val="00A15422"/>
    <w:rsid w:val="00A24D74"/>
    <w:rsid w:val="00A36360"/>
    <w:rsid w:val="00A74298"/>
    <w:rsid w:val="00AA4438"/>
    <w:rsid w:val="00AC6783"/>
    <w:rsid w:val="00AD052E"/>
    <w:rsid w:val="00AD4262"/>
    <w:rsid w:val="00AF4711"/>
    <w:rsid w:val="00AF568A"/>
    <w:rsid w:val="00B73994"/>
    <w:rsid w:val="00B746A5"/>
    <w:rsid w:val="00B75FAA"/>
    <w:rsid w:val="00B773BA"/>
    <w:rsid w:val="00B7764C"/>
    <w:rsid w:val="00B86858"/>
    <w:rsid w:val="00B920E7"/>
    <w:rsid w:val="00BC63A7"/>
    <w:rsid w:val="00BC7A45"/>
    <w:rsid w:val="00BF2683"/>
    <w:rsid w:val="00C16E56"/>
    <w:rsid w:val="00C40EF9"/>
    <w:rsid w:val="00C51E61"/>
    <w:rsid w:val="00C5454F"/>
    <w:rsid w:val="00C56188"/>
    <w:rsid w:val="00C605D7"/>
    <w:rsid w:val="00C84A61"/>
    <w:rsid w:val="00CA6581"/>
    <w:rsid w:val="00CF060B"/>
    <w:rsid w:val="00CF1AFA"/>
    <w:rsid w:val="00D00A07"/>
    <w:rsid w:val="00D01530"/>
    <w:rsid w:val="00D1330E"/>
    <w:rsid w:val="00D3412B"/>
    <w:rsid w:val="00D43330"/>
    <w:rsid w:val="00D477C4"/>
    <w:rsid w:val="00D47DEB"/>
    <w:rsid w:val="00D700B5"/>
    <w:rsid w:val="00D96671"/>
    <w:rsid w:val="00DA7D68"/>
    <w:rsid w:val="00DB07A7"/>
    <w:rsid w:val="00DD6C38"/>
    <w:rsid w:val="00DF7A4D"/>
    <w:rsid w:val="00E03F46"/>
    <w:rsid w:val="00E06978"/>
    <w:rsid w:val="00E134FB"/>
    <w:rsid w:val="00E62E37"/>
    <w:rsid w:val="00E918D2"/>
    <w:rsid w:val="00EA6BAF"/>
    <w:rsid w:val="00ED0A51"/>
    <w:rsid w:val="00EE0E7E"/>
    <w:rsid w:val="00EE2A5F"/>
    <w:rsid w:val="00F06F0C"/>
    <w:rsid w:val="00F211A2"/>
    <w:rsid w:val="00F25F16"/>
    <w:rsid w:val="00F26543"/>
    <w:rsid w:val="00F43BDC"/>
    <w:rsid w:val="00F528CE"/>
    <w:rsid w:val="00F92F58"/>
    <w:rsid w:val="00F951D1"/>
    <w:rsid w:val="00FA1317"/>
    <w:rsid w:val="00FB1954"/>
    <w:rsid w:val="00FB5F7C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AF08"/>
  <w15:docId w15:val="{CC573EDE-3109-4662-AA15-9FF0EDC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92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F5B4-2AD3-4865-8950-2F10467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2018-02-26T10:06:00Z</cp:lastPrinted>
  <dcterms:created xsi:type="dcterms:W3CDTF">2017-01-19T12:11:00Z</dcterms:created>
  <dcterms:modified xsi:type="dcterms:W3CDTF">2020-08-13T10:44:00Z</dcterms:modified>
</cp:coreProperties>
</file>